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IBM Plex Sans" w:cs="IBM Plex Sans" w:eastAsia="IBM Plex Sans" w:hAnsi="IBM Plex Sans"/>
          <w:b w:val="1"/>
          <w:color w:val="ff0000"/>
          <w:sz w:val="46"/>
          <w:szCs w:val="46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color w:val="ff0000"/>
          <w:sz w:val="46"/>
          <w:szCs w:val="46"/>
          <w:rtl w:val="0"/>
        </w:rPr>
        <w:t xml:space="preserve">Grilles de recherche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IBM Plex Sans" w:cs="IBM Plex Sans" w:eastAsia="IBM Plex Sans" w:hAnsi="IBM Plex Sans"/>
          <w:b w:val="1"/>
          <w:color w:val="ff0000"/>
          <w:sz w:val="46"/>
          <w:szCs w:val="4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IBM Plex Sans" w:cs="IBM Plex Sans" w:eastAsia="IBM Plex Sans" w:hAnsi="IBM Plex Sans"/>
          <w:b w:val="1"/>
          <w:sz w:val="30"/>
          <w:szCs w:val="30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sz w:val="30"/>
          <w:szCs w:val="30"/>
          <w:rtl w:val="0"/>
        </w:rPr>
        <w:t xml:space="preserve">Groupe 1</w:t>
      </w:r>
    </w:p>
    <w:p w:rsidR="00000000" w:rsidDel="00000000" w:rsidP="00000000" w:rsidRDefault="00000000" w:rsidRPr="00000000" w14:paraId="00000003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2235"/>
        <w:gridCol w:w="2370"/>
        <w:gridCol w:w="2280"/>
        <w:tblGridChange w:id="0">
          <w:tblGrid>
            <w:gridCol w:w="2745"/>
            <w:gridCol w:w="2235"/>
            <w:gridCol w:w="2370"/>
            <w:gridCol w:w="228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8"/>
                <w:szCs w:val="28"/>
                <w:rtl w:val="0"/>
              </w:rPr>
              <w:t xml:space="preserve">Groupe 1 </w:t>
            </w:r>
          </w:p>
        </w:tc>
        <w:tc>
          <w:tcPr>
            <w:gridSpan w:val="3"/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000000" w:space="0" w:sz="0" w:val="nil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8"/>
                <w:szCs w:val="28"/>
                <w:rtl w:val="0"/>
              </w:rPr>
              <w:t xml:space="preserve">Mouvement I  (v. 1-6) :  Beauté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88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Citer le texte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88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(je recopie des éléments intéressants du texte entre guillemets)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88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Comment le dit-il ? </w:t>
            </w: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(j’identifie le procédé d’écriture)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88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Effets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88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(j’analyse l’effet produit par le procédé) 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88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Comment l’interpréter ?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88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(je résume l’idée centrale du mouvement)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IBM Plex Sans" w:cs="IBM Plex Sans" w:eastAsia="IBM Plex Sans" w:hAnsi="IBM Plex Sans"/>
          <w:b w:val="1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IBM Plex Sans" w:cs="IBM Plex Sans" w:eastAsia="IBM Plex Sans" w:hAnsi="IBM Plex Sans"/>
          <w:b w:val="1"/>
          <w:sz w:val="30"/>
          <w:szCs w:val="30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sz w:val="30"/>
          <w:szCs w:val="30"/>
          <w:rtl w:val="0"/>
        </w:rPr>
        <w:t xml:space="preserve">Groupe 2</w:t>
      </w:r>
    </w:p>
    <w:p w:rsidR="00000000" w:rsidDel="00000000" w:rsidP="00000000" w:rsidRDefault="00000000" w:rsidRPr="00000000" w14:paraId="0000001B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2235"/>
        <w:gridCol w:w="2370"/>
        <w:gridCol w:w="2280"/>
        <w:tblGridChange w:id="0">
          <w:tblGrid>
            <w:gridCol w:w="2745"/>
            <w:gridCol w:w="2235"/>
            <w:gridCol w:w="2370"/>
            <w:gridCol w:w="228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8"/>
                <w:szCs w:val="28"/>
                <w:rtl w:val="0"/>
              </w:rPr>
              <w:t xml:space="preserve">Groupe 2</w:t>
            </w:r>
          </w:p>
        </w:tc>
        <w:tc>
          <w:tcPr>
            <w:gridSpan w:val="3"/>
            <w:tcBorders>
              <w:top w:color="9e9e9e" w:space="0" w:sz="8" w:val="single"/>
              <w:left w:color="9e9e9e" w:space="0" w:sz="8" w:val="single"/>
              <w:bottom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8"/>
                <w:szCs w:val="28"/>
                <w:rtl w:val="0"/>
              </w:rPr>
              <w:t xml:space="preserve">Mouvement II (v. 7-13) : Beauté éphémère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Citer le texte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(je recopie des éléments intéressants du texte entre guillemets)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Comment le dit-il?</w:t>
              <w:br w:type="textWrapping"/>
            </w: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(j’identifie le  procédé d’écriture)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Effets</w:t>
            </w: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br w:type="textWrapping"/>
              <w:t xml:space="preserve">(j’analyse l’effet produit par le procédé)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Comment l’interpréter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(je résume l’idée centrale de l’axe)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IBM Plex Sans" w:cs="IBM Plex Sans" w:eastAsia="IBM Plex Sans" w:hAnsi="IBM Plex San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IBM Plex Sans" w:cs="IBM Plex Sans" w:eastAsia="IBM Plex Sans" w:hAnsi="IBM Plex Sans"/>
          <w:b w:val="1"/>
          <w:sz w:val="30"/>
          <w:szCs w:val="30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sz w:val="30"/>
          <w:szCs w:val="30"/>
          <w:rtl w:val="0"/>
        </w:rPr>
        <w:t xml:space="preserve">Groupe 3</w:t>
      </w:r>
    </w:p>
    <w:p w:rsidR="00000000" w:rsidDel="00000000" w:rsidP="00000000" w:rsidRDefault="00000000" w:rsidRPr="00000000" w14:paraId="00000032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2235"/>
        <w:gridCol w:w="2370"/>
        <w:gridCol w:w="2280"/>
        <w:tblGridChange w:id="0">
          <w:tblGrid>
            <w:gridCol w:w="2745"/>
            <w:gridCol w:w="2235"/>
            <w:gridCol w:w="2370"/>
            <w:gridCol w:w="228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20.0" w:type="dxa"/>
              <w:bottom w:w="1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8"/>
                <w:szCs w:val="28"/>
                <w:rtl w:val="0"/>
              </w:rPr>
              <w:t xml:space="preserve">Groupe 3</w:t>
            </w:r>
          </w:p>
        </w:tc>
        <w:tc>
          <w:tcPr>
            <w:gridSpan w:val="3"/>
            <w:tcBorders>
              <w:top w:color="9e9e9e" w:space="0" w:sz="8" w:val="single"/>
              <w:left w:color="9e9e9e" w:space="0" w:sz="8" w:val="single"/>
              <w:bottom w:color="9e9e9e" w:space="0" w:sz="8" w:val="single"/>
            </w:tcBorders>
            <w:shd w:fill="ffffff" w:val="clear"/>
            <w:tcMar>
              <w:top w:w="140.0" w:type="dxa"/>
              <w:left w:w="120.0" w:type="dxa"/>
              <w:bottom w:w="1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8"/>
                <w:szCs w:val="28"/>
                <w:rtl w:val="0"/>
              </w:rPr>
              <w:t xml:space="preserve">Mouvement III (v. 13-18): Carpe Diem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Citer le texte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(je recopie des éléments intéressants du texte entre guillemets)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Comment le dit-il</w:t>
              <w:br w:type="textWrapping"/>
            </w: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(j’identifie un procédé d’écriture)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Effets </w:t>
            </w: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br w:type="textWrapping"/>
              <w:t xml:space="preserve">(j’analyse l’effet produit par le procédé)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Comment l’interpréter?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(je résume l’idée centrale de l’axe)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IBM Plex Sans" w:cs="IBM Plex Sans" w:eastAsia="IBM Plex Sans" w:hAnsi="IBM Plex San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2235"/>
        <w:gridCol w:w="2580"/>
        <w:gridCol w:w="2355"/>
        <w:tblGridChange w:id="0">
          <w:tblGrid>
            <w:gridCol w:w="2760"/>
            <w:gridCol w:w="2235"/>
            <w:gridCol w:w="2580"/>
            <w:gridCol w:w="235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8"/>
                <w:szCs w:val="28"/>
                <w:rtl w:val="0"/>
              </w:rPr>
              <w:t xml:space="preserve">Groupe 1 </w:t>
            </w:r>
          </w:p>
        </w:tc>
        <w:tc>
          <w:tcPr>
            <w:gridSpan w:val="3"/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000000" w:space="0" w:sz="0" w:val="nil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8"/>
                <w:szCs w:val="28"/>
                <w:rtl w:val="0"/>
              </w:rPr>
              <w:t xml:space="preserve">Mouvement I  (v. 1-6) :  Beauté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88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Citer le texte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88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(je recopie des éléments intéressants du texte entre guillemets)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88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Comment le dit-il ? </w:t>
            </w: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(j’identifie le procédé d’écriture)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88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Effets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88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(j’analyse l’effet produit par le procédé) 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88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Comment l’interpréter ?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88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(je résume l’idée centrale du mouvement)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i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6"/>
                <w:szCs w:val="26"/>
                <w:rtl w:val="0"/>
              </w:rPr>
              <w:t xml:space="preserve">« </w:t>
            </w:r>
            <w:r w:rsidDel="00000000" w:rsidR="00000000" w:rsidRPr="00000000">
              <w:rPr>
                <w:rFonts w:ascii="IBM Plex Sans" w:cs="IBM Plex Sans" w:eastAsia="IBM Plex Sans" w:hAnsi="IBM Plex Sans"/>
                <w:i w:val="1"/>
                <w:color w:val="00b050"/>
                <w:sz w:val="26"/>
                <w:szCs w:val="26"/>
                <w:rtl w:val="0"/>
              </w:rPr>
              <w:t xml:space="preserve">À Cassandre</w:t>
            </w: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6"/>
                <w:szCs w:val="26"/>
                <w:rtl w:val="0"/>
              </w:rPr>
              <w:t xml:space="preserve"> »</w:t>
            </w:r>
            <w:r w:rsidDel="00000000" w:rsidR="00000000" w:rsidRPr="00000000">
              <w:rPr>
                <w:rFonts w:ascii="IBM Plex Sans" w:cs="IBM Plex Sans" w:eastAsia="IBM Plex Sans" w:hAnsi="IBM Plex Sans"/>
                <w:i w:val="1"/>
                <w:color w:val="00b050"/>
                <w:sz w:val="26"/>
                <w:szCs w:val="26"/>
                <w:rtl w:val="0"/>
              </w:rPr>
              <w:t xml:space="preserve">.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6"/>
                <w:szCs w:val="26"/>
                <w:rtl w:val="0"/>
              </w:rPr>
              <w:t xml:space="preserve">Dédicace.</w:t>
            </w:r>
          </w:p>
        </w:tc>
        <w:tc>
          <w:tcPr>
            <w:vMerge w:val="restart"/>
            <w:tcBorders>
              <w:top w:color="9e9e9e" w:space="0" w:sz="8" w:val="single"/>
              <w:left w:color="9e9e9e" w:space="0" w:sz="8" w:val="single"/>
              <w:bottom w:color="000000" w:space="0" w:sz="0" w:val="nil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6"/>
                <w:szCs w:val="26"/>
                <w:rtl w:val="0"/>
              </w:rPr>
              <w:t xml:space="preserve">Atmosphère d’intimité.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6"/>
                <w:szCs w:val="26"/>
                <w:rtl w:val="0"/>
              </w:rPr>
              <w:t xml:space="preserve">     </w:t>
            </w:r>
          </w:p>
        </w:tc>
        <w:tc>
          <w:tcPr>
            <w:vMerge w:val="restart"/>
            <w:tcBorders>
              <w:top w:color="9e9e9e" w:space="0" w:sz="8" w:val="single"/>
              <w:left w:color="9e9e9e" w:space="0" w:sz="8" w:val="single"/>
              <w:bottom w:color="000000" w:space="0" w:sz="0" w:val="nil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6"/>
                <w:szCs w:val="26"/>
                <w:rtl w:val="0"/>
              </w:rPr>
              <w:t xml:space="preserve">Le poète s’adresse à  la femme aimée et la sollicite.  Il  en fait l’éloge en utilisant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6"/>
                <w:szCs w:val="26"/>
                <w:rtl w:val="0"/>
              </w:rPr>
              <w:t xml:space="preserve">le </w:t>
            </w:r>
            <w:r w:rsidDel="00000000" w:rsidR="00000000" w:rsidRPr="00000000">
              <w:rPr>
                <w:rFonts w:ascii="IBM Plex Sans" w:cs="IBM Plex Sans" w:eastAsia="IBM Plex Sans" w:hAnsi="IBM Plex Sans"/>
                <w:i w:val="1"/>
                <w:color w:val="00b050"/>
                <w:sz w:val="26"/>
                <w:szCs w:val="26"/>
                <w:rtl w:val="0"/>
              </w:rPr>
              <w:t xml:space="preserve">topos</w:t>
            </w: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6"/>
                <w:szCs w:val="26"/>
                <w:rtl w:val="0"/>
              </w:rPr>
              <w:t xml:space="preserve"> littéraire de la rose qui met en évidence la beauté de la femme.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38"/>
                <w:szCs w:val="38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6"/>
                <w:szCs w:val="26"/>
                <w:rtl w:val="0"/>
              </w:rPr>
              <w:t xml:space="preserve">« Mignonne » (v. 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6"/>
                <w:szCs w:val="26"/>
                <w:rtl w:val="0"/>
              </w:rPr>
              <w:t xml:space="preserve">Apostrophe et terme affectif.</w:t>
            </w:r>
          </w:p>
        </w:tc>
        <w:tc>
          <w:tcPr>
            <w:vMerge w:val="continue"/>
            <w:tcBorders>
              <w:top w:color="000000" w:space="0" w:sz="0" w:val="nil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9e9e9e" w:space="0" w:sz="8" w:val="single"/>
              <w:bottom w:color="000000" w:space="0" w:sz="0" w:val="nil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6"/>
                <w:szCs w:val="26"/>
                <w:rtl w:val="0"/>
              </w:rPr>
              <w:t xml:space="preserve">« Sa robe » (v. 3), </w:t>
              <w:br w:type="textWrapping"/>
              <w:t xml:space="preserve">« pourpre » (v. 3), </w:t>
              <w:br w:type="textWrapping"/>
              <w:t xml:space="preserve">« pourprée » (v. 5); </w:t>
              <w:br w:type="textWrapping"/>
              <w:t xml:space="preserve">« son teint au vôtre pareil » (v. 6).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6"/>
                <w:szCs w:val="26"/>
                <w:rtl w:val="0"/>
              </w:rPr>
              <w:t xml:space="preserve">Personnification et comparaison ;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6"/>
                <w:szCs w:val="26"/>
                <w:rtl w:val="0"/>
              </w:rPr>
              <w:t xml:space="preserve">connotation de la passion amoureuse et de la beauté.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6"/>
                <w:szCs w:val="26"/>
                <w:rtl w:val="0"/>
              </w:rPr>
              <w:t xml:space="preserve">Analogie valorisante entre la rose et la femme aimée.</w:t>
            </w:r>
          </w:p>
        </w:tc>
        <w:tc>
          <w:tcPr>
            <w:vMerge w:val="continue"/>
            <w:tcBorders>
              <w:top w:color="000000" w:space="0" w:sz="0" w:val="nil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IBM Plex Sans" w:cs="IBM Plex Sans" w:eastAsia="IBM Plex Sans" w:hAnsi="IBM Plex Sans"/>
          <w:b w:val="1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IBM Plex Sans" w:cs="IBM Plex Sans" w:eastAsia="IBM Plex Sans" w:hAnsi="IBM Plex San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7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2280"/>
        <w:gridCol w:w="2580"/>
        <w:gridCol w:w="2220"/>
        <w:tblGridChange w:id="0">
          <w:tblGrid>
            <w:gridCol w:w="2715"/>
            <w:gridCol w:w="2280"/>
            <w:gridCol w:w="2580"/>
            <w:gridCol w:w="222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8"/>
                <w:szCs w:val="28"/>
                <w:rtl w:val="0"/>
              </w:rPr>
              <w:t xml:space="preserve">Groupe 2</w:t>
            </w:r>
          </w:p>
        </w:tc>
        <w:tc>
          <w:tcPr>
            <w:gridSpan w:val="3"/>
            <w:tcBorders>
              <w:top w:color="9e9e9e" w:space="0" w:sz="8" w:val="single"/>
              <w:left w:color="9e9e9e" w:space="0" w:sz="8" w:val="single"/>
              <w:bottom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8"/>
                <w:szCs w:val="28"/>
                <w:rtl w:val="0"/>
              </w:rPr>
              <w:t xml:space="preserve">Mouvement II (v. 7-13) : Beauté éphémère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Citer le texte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(je recopie des éléments intéressants du texte entre guillemets)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Comment le dit-il?</w:t>
              <w:br w:type="textWrapping"/>
            </w: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(j’identifie le  procédé d’écriture)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Effets</w:t>
            </w: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br w:type="textWrapping"/>
              <w:t xml:space="preserve">(j’analyse l’effet produit par le procédé)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Comment l’interpréter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(je résume l’idée centrale de l’axe)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both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« ses beautés laissé choir » (v. 9).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Euphémisme.</w:t>
            </w:r>
          </w:p>
          <w:p w:rsidR="00000000" w:rsidDel="00000000" w:rsidP="00000000" w:rsidRDefault="00000000" w:rsidRPr="00000000" w14:paraId="00000072">
            <w:pPr>
              <w:widowControl w:val="0"/>
              <w:spacing w:before="240"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Évocation de la mort de la rose.</w:t>
            </w:r>
          </w:p>
        </w:tc>
        <w:tc>
          <w:tcPr>
            <w:vMerge w:val="restart"/>
            <w:tcBorders>
              <w:top w:color="9e9e9e" w:space="0" w:sz="8" w:val="single"/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20.0" w:type="dxa"/>
              <w:bottom w:w="14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Le poète se plaint de la brièveté de la beauté et de la jeunesse. La constatation que l'être humain est naturellement et implacablement destiné à la vieillesse et à la mort suscite le désespoir du poète.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both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« Las » (v. 7, 9),</w:t>
              <w:br w:type="textWrapping"/>
              <w:t xml:space="preserve">« Ô » (v. 10),</w:t>
              <w:br w:type="textWrapping"/>
              <w:t xml:space="preserve">« ! » (v. 7, 9, 12).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Registre lyrique : interjections, vocatif,</w:t>
              <w:br w:type="textWrapping"/>
              <w:t xml:space="preserve">phrases exclamatives.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Expression du désespoir du poète.</w:t>
            </w:r>
          </w:p>
        </w:tc>
        <w:tc>
          <w:tcPr>
            <w:vMerge w:val="continue"/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both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« marâtre » (v. 10).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Allégorie et suffixe dépréciatif.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Violente critique de la nature, considérée comme une mauvaise mère.</w:t>
            </w:r>
          </w:p>
        </w:tc>
        <w:tc>
          <w:tcPr>
            <w:vMerge w:val="continue"/>
            <w:tcBorders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IBM Plex Sans" w:cs="IBM Plex Sans" w:eastAsia="IBM Plex Sans" w:hAnsi="IBM Plex San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IBM Plex Sans" w:cs="IBM Plex Sans" w:eastAsia="IBM Plex Sans" w:hAnsi="IBM Plex Sans"/>
          <w:b w:val="1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2445"/>
        <w:gridCol w:w="2580"/>
        <w:gridCol w:w="2115"/>
        <w:tblGridChange w:id="0">
          <w:tblGrid>
            <w:gridCol w:w="2565"/>
            <w:gridCol w:w="2445"/>
            <w:gridCol w:w="2580"/>
            <w:gridCol w:w="2115"/>
          </w:tblGrid>
        </w:tblGridChange>
      </w:tblGrid>
      <w:tr>
        <w:trPr>
          <w:cantSplit w:val="0"/>
          <w:trHeight w:val="70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20.0" w:type="dxa"/>
              <w:bottom w:w="1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8"/>
                <w:szCs w:val="28"/>
                <w:rtl w:val="0"/>
              </w:rPr>
              <w:t xml:space="preserve">Groupe 3</w:t>
            </w:r>
          </w:p>
        </w:tc>
        <w:tc>
          <w:tcPr>
            <w:gridSpan w:val="3"/>
            <w:tcBorders>
              <w:top w:color="9e9e9e" w:space="0" w:sz="8" w:val="single"/>
              <w:left w:color="9e9e9e" w:space="0" w:sz="8" w:val="single"/>
              <w:bottom w:color="9e9e9e" w:space="0" w:sz="8" w:val="single"/>
            </w:tcBorders>
            <w:shd w:fill="ffffff" w:val="clear"/>
            <w:tcMar>
              <w:top w:w="140.0" w:type="dxa"/>
              <w:left w:w="120.0" w:type="dxa"/>
              <w:bottom w:w="1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88" w:lineRule="auto"/>
              <w:jc w:val="both"/>
              <w:rPr>
                <w:rFonts w:ascii="IBM Plex Sans" w:cs="IBM Plex Sans" w:eastAsia="IBM Plex Sans" w:hAnsi="IBM Plex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8"/>
                <w:szCs w:val="28"/>
                <w:rtl w:val="0"/>
              </w:rPr>
              <w:t xml:space="preserve">Mouvement III (v. 13-18): Carpe Diem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Citer le texte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(je recopie des éléments intéressants du texte entre guillemets)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Comment le dit-il</w:t>
              <w:br w:type="textWrapping"/>
            </w: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(j’identifie un procédé d’écriture)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Effets </w:t>
            </w: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br w:type="textWrapping"/>
              <w:t xml:space="preserve">(j’analyse l’effet produit par le procédé)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4"/>
                <w:szCs w:val="24"/>
                <w:rtl w:val="0"/>
              </w:rPr>
              <w:t xml:space="preserve">Comment l’interpréter?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4"/>
                <w:szCs w:val="24"/>
                <w:rtl w:val="0"/>
              </w:rPr>
              <w:t xml:space="preserve">(je résume l’idée centrale de l’axe)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« Donc » (v. 13).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Connecteur logique.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Introduction de la conclusion du raisonnement.</w:t>
            </w:r>
          </w:p>
        </w:tc>
        <w:tc>
          <w:tcPr>
            <w:vMerge w:val="restart"/>
            <w:tcBorders>
              <w:top w:color="9e9e9e" w:space="0" w:sz="8" w:val="single"/>
              <w:left w:color="9e9e9e" w:space="0" w:sz="8" w:val="single"/>
              <w:bottom w:color="000000" w:space="0" w:sz="0" w:val="nil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Le destin de la femme sera pareil à celui de la rose.</w:t>
            </w:r>
          </w:p>
          <w:p w:rsidR="00000000" w:rsidDel="00000000" w:rsidP="00000000" w:rsidRDefault="00000000" w:rsidRPr="00000000" w14:paraId="0000008E">
            <w:pPr>
              <w:widowControl w:val="0"/>
              <w:spacing w:befor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Puisque sa beauté n'est pas durable, la jeune femme doit en profiter tant qu'elle est encore là.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« fleuronne » (v. 14), « verte » </w:t>
              <w:br w:type="textWrapping"/>
              <w:t xml:space="preserve">(v. 15), « cueillez » (v. 16).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Hypallages ; métaphore filée.</w:t>
            </w:r>
          </w:p>
          <w:p w:rsidR="00000000" w:rsidDel="00000000" w:rsidP="00000000" w:rsidRDefault="00000000" w:rsidRPr="00000000" w14:paraId="00000091">
            <w:pPr>
              <w:widowControl w:val="0"/>
              <w:spacing w:before="240"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Association entre la femme et la rose (deuxième étape du syllogisme).</w:t>
            </w:r>
          </w:p>
        </w:tc>
        <w:tc>
          <w:tcPr>
            <w:vMerge w:val="continue"/>
            <w:tcBorders>
              <w:top w:color="000000" w:space="0" w:sz="0" w:val="nil"/>
              <w:left w:color="9e9e9e" w:space="0" w:sz="8" w:val="single"/>
              <w:bottom w:color="000000" w:space="0" w:sz="0" w:val="nil"/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« jeunesse » / « vieillesse » </w:t>
              <w:br w:type="textWrapping"/>
              <w:t xml:space="preserve">(v. 16, 17).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Antithèse de mots mis à la rime qui reprend et rend explicite la métaphore antithétique du v. 12.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Association de l’idée de fugacité de la beauté au cycle de la vie et à la femme (troisième étape du syllogisme).</w:t>
            </w:r>
          </w:p>
        </w:tc>
        <w:tc>
          <w:tcPr>
            <w:vMerge w:val="continue"/>
            <w:tcBorders>
              <w:top w:color="000000" w:space="0" w:sz="0" w:val="nil"/>
              <w:left w:color="9e9e9e" w:space="0" w:sz="8" w:val="single"/>
              <w:bottom w:color="000000" w:space="0" w:sz="0" w:val="nil"/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« Cueillez, cueillez » (v. 16).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Double impératif à valeur exhortative.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00.0" w:type="dxa"/>
              <w:bottom w:w="14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b050"/>
                <w:sz w:val="24"/>
                <w:szCs w:val="24"/>
                <w:rtl w:val="0"/>
              </w:rPr>
              <w:t xml:space="preserve">Expression d’un ordre avec insistance : il y a urgence à profiter de la vie.</w:t>
            </w:r>
          </w:p>
        </w:tc>
        <w:tc>
          <w:tcPr>
            <w:vMerge w:val="continue"/>
            <w:tcBorders>
              <w:top w:color="000000" w:space="0" w:sz="0" w:val="nil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rFonts w:ascii="IBM Plex Sans" w:cs="IBM Plex Sans" w:eastAsia="IBM Plex Sans" w:hAnsi="IBM Plex San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tabs>
        <w:tab w:val="center" w:leader="none" w:pos="4819"/>
        <w:tab w:val="right" w:leader="none" w:pos="9638"/>
      </w:tabs>
      <w:spacing w:line="240" w:lineRule="auto"/>
      <w:ind w:right="360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1542097" cy="45327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2097" cy="4532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</w:t>
      <w:tab/>
      <w:tab/>
    </w: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1239202" cy="217776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9202" cy="2177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rPr>
        <w:rFonts w:ascii="IBM Plex Sans" w:cs="IBM Plex Sans" w:eastAsia="IBM Plex Sans" w:hAnsi="IBM Plex Sans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jc w:val="right"/>
      <w:rPr>
        <w:rFonts w:ascii="IBM Plex Sans" w:cs="IBM Plex Sans" w:eastAsia="IBM Plex Sans" w:hAnsi="IBM Plex Sans"/>
      </w:rPr>
    </w:pPr>
    <w:r w:rsidDel="00000000" w:rsidR="00000000" w:rsidRPr="00000000">
      <w:rPr>
        <w:rFonts w:ascii="IBM Plex Sans" w:cs="IBM Plex Sans" w:eastAsia="IBM Plex Sans" w:hAnsi="IBM Plex Sans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3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4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5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6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